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《招标投标领域公平竞争审查规则》2024年第16号令</w:t>
      </w:r>
    </w:p>
    <w:p>
      <w:pPr>
        <w:ind w:left="480" w:hanging="420" w:hangingChars="200"/>
        <w:rPr>
          <w:rFonts w:hint="default"/>
        </w:rPr>
      </w:pPr>
    </w:p>
    <w:p>
      <w:pPr>
        <w:spacing w:line="360" w:lineRule="auto"/>
        <w:ind w:firstLine="480" w:firstLineChars="200"/>
        <w:jc w:val="center"/>
        <w:rPr>
          <w:sz w:val="24"/>
          <w:szCs w:val="24"/>
        </w:rPr>
      </w:pPr>
      <w:r>
        <w:rPr>
          <w:rFonts w:hint="eastAsia"/>
          <w:sz w:val="24"/>
          <w:szCs w:val="24"/>
          <w:lang w:val="en-US" w:eastAsia="zh-CN"/>
        </w:rPr>
        <w:t>八部委</w:t>
      </w:r>
      <w:r>
        <w:rPr>
          <w:rFonts w:hint="default"/>
          <w:sz w:val="24"/>
          <w:szCs w:val="24"/>
        </w:rPr>
        <w:t>局令第16号</w:t>
      </w:r>
    </w:p>
    <w:p>
      <w:pPr>
        <w:spacing w:line="360" w:lineRule="auto"/>
        <w:rPr>
          <w:rFonts w:hint="default"/>
          <w:sz w:val="24"/>
          <w:szCs w:val="24"/>
        </w:rPr>
      </w:pPr>
    </w:p>
    <w:p>
      <w:pPr>
        <w:spacing w:line="360" w:lineRule="auto"/>
        <w:ind w:firstLine="480" w:firstLineChars="200"/>
        <w:rPr>
          <w:sz w:val="24"/>
          <w:szCs w:val="24"/>
        </w:rPr>
      </w:pPr>
      <w:r>
        <w:rPr>
          <w:rFonts w:hint="default"/>
          <w:sz w:val="24"/>
          <w:szCs w:val="24"/>
        </w:rPr>
        <w:t>《招标投标领域公平竞争审查规则》已经2024年1月31日第8次委务会议审议通过，现予公布，自2024年5月1日起施行。</w:t>
      </w:r>
    </w:p>
    <w:p>
      <w:pPr>
        <w:spacing w:line="360" w:lineRule="auto"/>
        <w:jc w:val="right"/>
        <w:rPr>
          <w:sz w:val="24"/>
          <w:szCs w:val="24"/>
        </w:rPr>
      </w:pPr>
      <w:r>
        <w:rPr>
          <w:rFonts w:hint="default"/>
          <w:sz w:val="24"/>
          <w:szCs w:val="24"/>
        </w:rPr>
        <w:t>国家发展改革委主任：郑栅洁</w:t>
      </w:r>
    </w:p>
    <w:p>
      <w:pPr>
        <w:spacing w:line="360" w:lineRule="auto"/>
        <w:jc w:val="right"/>
        <w:rPr>
          <w:sz w:val="24"/>
          <w:szCs w:val="24"/>
        </w:rPr>
      </w:pPr>
      <w:r>
        <w:rPr>
          <w:rFonts w:hint="default"/>
          <w:sz w:val="24"/>
          <w:szCs w:val="24"/>
        </w:rPr>
        <w:t>工业和信息化部部长：金壮龙</w:t>
      </w:r>
    </w:p>
    <w:p>
      <w:pPr>
        <w:spacing w:line="360" w:lineRule="auto"/>
        <w:jc w:val="right"/>
        <w:rPr>
          <w:sz w:val="24"/>
          <w:szCs w:val="24"/>
        </w:rPr>
      </w:pPr>
      <w:r>
        <w:rPr>
          <w:rFonts w:hint="default"/>
          <w:sz w:val="24"/>
          <w:szCs w:val="24"/>
        </w:rPr>
        <w:t>住房城乡建设部部长：倪虹</w:t>
      </w:r>
    </w:p>
    <w:p>
      <w:pPr>
        <w:spacing w:line="360" w:lineRule="auto"/>
        <w:jc w:val="right"/>
        <w:rPr>
          <w:sz w:val="24"/>
          <w:szCs w:val="24"/>
        </w:rPr>
      </w:pPr>
      <w:r>
        <w:rPr>
          <w:rFonts w:hint="default"/>
          <w:sz w:val="24"/>
          <w:szCs w:val="24"/>
        </w:rPr>
        <w:t>交通运输部部长：李小鹏</w:t>
      </w:r>
    </w:p>
    <w:p>
      <w:pPr>
        <w:spacing w:line="360" w:lineRule="auto"/>
        <w:jc w:val="right"/>
        <w:rPr>
          <w:sz w:val="24"/>
          <w:szCs w:val="24"/>
        </w:rPr>
      </w:pPr>
      <w:r>
        <w:rPr>
          <w:rFonts w:hint="default"/>
          <w:sz w:val="24"/>
          <w:szCs w:val="24"/>
        </w:rPr>
        <w:t>水利部部长：李国英</w:t>
      </w:r>
    </w:p>
    <w:p>
      <w:pPr>
        <w:spacing w:line="360" w:lineRule="auto"/>
        <w:jc w:val="right"/>
        <w:rPr>
          <w:sz w:val="24"/>
          <w:szCs w:val="24"/>
        </w:rPr>
      </w:pPr>
      <w:r>
        <w:rPr>
          <w:rFonts w:hint="default"/>
          <w:sz w:val="24"/>
          <w:szCs w:val="24"/>
        </w:rPr>
        <w:t>农业农村部部长：唐仁健</w:t>
      </w:r>
    </w:p>
    <w:p>
      <w:pPr>
        <w:spacing w:line="360" w:lineRule="auto"/>
        <w:jc w:val="right"/>
        <w:rPr>
          <w:sz w:val="24"/>
          <w:szCs w:val="24"/>
        </w:rPr>
      </w:pPr>
      <w:r>
        <w:rPr>
          <w:rFonts w:hint="default"/>
          <w:sz w:val="24"/>
          <w:szCs w:val="24"/>
        </w:rPr>
        <w:t>商务部部长：王文涛</w:t>
      </w:r>
    </w:p>
    <w:p>
      <w:pPr>
        <w:spacing w:line="360" w:lineRule="auto"/>
        <w:jc w:val="right"/>
        <w:rPr>
          <w:sz w:val="24"/>
          <w:szCs w:val="24"/>
        </w:rPr>
      </w:pPr>
      <w:r>
        <w:rPr>
          <w:rFonts w:hint="default"/>
          <w:sz w:val="24"/>
          <w:szCs w:val="24"/>
        </w:rPr>
        <w:t>市场监管总局局长：罗文</w:t>
      </w:r>
    </w:p>
    <w:p>
      <w:pPr>
        <w:spacing w:line="360" w:lineRule="auto"/>
        <w:jc w:val="right"/>
        <w:rPr>
          <w:sz w:val="24"/>
          <w:szCs w:val="24"/>
        </w:rPr>
      </w:pPr>
      <w:r>
        <w:rPr>
          <w:rFonts w:hint="default"/>
          <w:sz w:val="24"/>
          <w:szCs w:val="24"/>
        </w:rPr>
        <w:t>2024年3月25日</w:t>
      </w:r>
    </w:p>
    <w:p>
      <w:pPr>
        <w:spacing w:line="360" w:lineRule="auto"/>
        <w:jc w:val="center"/>
        <w:rPr>
          <w:rFonts w:hint="default"/>
          <w:sz w:val="24"/>
          <w:szCs w:val="24"/>
        </w:rPr>
      </w:pP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招标投标领域公平竞争审查规则</w:t>
      </w:r>
    </w:p>
    <w:p>
      <w:pPr>
        <w:spacing w:line="360" w:lineRule="auto"/>
        <w:ind w:firstLine="480" w:firstLineChars="200"/>
        <w:rPr>
          <w:rFonts w:hint="default"/>
          <w:sz w:val="24"/>
          <w:szCs w:val="24"/>
        </w:rPr>
      </w:pPr>
    </w:p>
    <w:p>
      <w:pPr>
        <w:spacing w:line="360" w:lineRule="auto"/>
        <w:jc w:val="center"/>
        <w:rPr>
          <w:rFonts w:hint="default" w:ascii="黑体" w:hAnsi="黑体" w:eastAsia="黑体" w:cs="黑体"/>
          <w:sz w:val="28"/>
          <w:szCs w:val="28"/>
        </w:rPr>
      </w:pPr>
      <w:r>
        <w:rPr>
          <w:rFonts w:hint="default" w:ascii="黑体" w:hAnsi="黑体" w:eastAsia="黑体" w:cs="黑体"/>
          <w:sz w:val="28"/>
          <w:szCs w:val="28"/>
        </w:rPr>
        <w:t>第一章 总则</w:t>
      </w:r>
    </w:p>
    <w:p>
      <w:pPr>
        <w:spacing w:line="360" w:lineRule="auto"/>
        <w:ind w:firstLine="482" w:firstLineChars="200"/>
        <w:rPr>
          <w:rFonts w:hint="default"/>
          <w:sz w:val="24"/>
          <w:szCs w:val="24"/>
        </w:rPr>
      </w:pPr>
      <w:r>
        <w:rPr>
          <w:rFonts w:hint="eastAsia" w:ascii="黑体" w:hAnsi="黑体" w:eastAsia="黑体" w:cs="黑体"/>
          <w:b/>
          <w:bCs/>
          <w:sz w:val="24"/>
          <w:szCs w:val="24"/>
        </w:rPr>
        <w:t>第一条</w:t>
      </w:r>
      <w:r>
        <w:rPr>
          <w:rFonts w:hint="default"/>
          <w:sz w:val="24"/>
          <w:szCs w:val="24"/>
        </w:rPr>
        <w:t> 为加强和规范招标投标领域公平竞争审查，维护公平竞争市场秩序，根据《中华人民共和国招标投标法》《中华人民共和国招标投标法实施条例》等有关规定，制定本规则。</w:t>
      </w:r>
    </w:p>
    <w:p>
      <w:pPr>
        <w:spacing w:line="360" w:lineRule="auto"/>
        <w:ind w:firstLine="482" w:firstLineChars="200"/>
        <w:rPr>
          <w:rFonts w:hint="default"/>
          <w:sz w:val="24"/>
          <w:szCs w:val="24"/>
        </w:rPr>
      </w:pPr>
      <w:r>
        <w:rPr>
          <w:rFonts w:hint="default" w:ascii="黑体" w:hAnsi="黑体" w:eastAsia="黑体" w:cs="黑体"/>
          <w:b/>
          <w:bCs/>
          <w:sz w:val="24"/>
          <w:szCs w:val="24"/>
        </w:rPr>
        <w:t>第二条 </w:t>
      </w:r>
      <w:r>
        <w:rPr>
          <w:rFonts w:hint="default"/>
          <w:sz w:val="24"/>
          <w:szCs w:val="24"/>
        </w:rPr>
        <w:t>招标投标领域公平竞争审查工作，适用本规则。</w:t>
      </w:r>
    </w:p>
    <w:p>
      <w:pPr>
        <w:spacing w:line="360" w:lineRule="auto"/>
        <w:ind w:firstLine="482" w:firstLineChars="200"/>
        <w:rPr>
          <w:rFonts w:hint="default"/>
          <w:sz w:val="24"/>
          <w:szCs w:val="24"/>
        </w:rPr>
      </w:pPr>
      <w:r>
        <w:rPr>
          <w:rFonts w:hint="default" w:ascii="黑体" w:hAnsi="黑体" w:eastAsia="黑体" w:cs="黑体"/>
          <w:b/>
          <w:bCs/>
          <w:sz w:val="24"/>
          <w:szCs w:val="24"/>
        </w:rPr>
        <w:t>第三条 </w:t>
      </w:r>
      <w:r>
        <w:rPr>
          <w:rFonts w:hint="default"/>
          <w:sz w:val="24"/>
          <w:szCs w:val="24"/>
        </w:rPr>
        <w:t>本规则所称</w:t>
      </w:r>
      <w:r>
        <w:rPr>
          <w:rFonts w:hint="default"/>
          <w:color w:val="0000FF"/>
          <w:sz w:val="24"/>
          <w:szCs w:val="24"/>
        </w:rPr>
        <w:t>公平竞争审查，是指</w:t>
      </w:r>
      <w:r>
        <w:rPr>
          <w:rFonts w:hint="default"/>
          <w:sz w:val="24"/>
          <w:szCs w:val="24"/>
        </w:rPr>
        <w:t>行政机关和法律、法规授权的具有管理公共事务职能的组织（以下统称政策制定机关）对拟制定的招标投标领域涉及经营主体经济活动的规章、行政规范性文件、其他政策性文件以及具体政策措施（以下统称政策措施）是否存在排除、限制竞争情形进行审查评估的活动。除法律、行政法规或者国务院规定的公平竞争审查例外情形，未经公平竞争审查或者经审查存在排除、限制竞争情形的，不得出台有关政策措施。</w:t>
      </w:r>
    </w:p>
    <w:p>
      <w:pPr>
        <w:spacing w:line="360" w:lineRule="auto"/>
        <w:ind w:firstLine="482" w:firstLineChars="200"/>
        <w:rPr>
          <w:rFonts w:hint="default"/>
          <w:sz w:val="24"/>
          <w:szCs w:val="24"/>
        </w:rPr>
      </w:pPr>
      <w:r>
        <w:rPr>
          <w:rFonts w:hint="default" w:ascii="黑体" w:hAnsi="黑体" w:eastAsia="黑体" w:cs="黑体"/>
          <w:b/>
          <w:bCs/>
          <w:sz w:val="24"/>
          <w:szCs w:val="24"/>
        </w:rPr>
        <w:t>第四条</w:t>
      </w:r>
      <w:r>
        <w:rPr>
          <w:rFonts w:hint="default"/>
          <w:sz w:val="24"/>
          <w:szCs w:val="24"/>
        </w:rPr>
        <w:t> 政策制定机关履行公平竞争审查职责。政策制定机关应当确定专门机构具体负责政策措施的公平竞争审查工作。多个部门联合制定政策措施的，由牵头部门组织开展公平竞争审查，各参与部门对职责范围内的政策措施负责。</w:t>
      </w:r>
    </w:p>
    <w:p>
      <w:pPr>
        <w:spacing w:line="360" w:lineRule="auto"/>
        <w:jc w:val="center"/>
        <w:rPr>
          <w:rFonts w:hint="default" w:ascii="黑体" w:hAnsi="黑体" w:eastAsia="黑体" w:cs="黑体"/>
          <w:sz w:val="28"/>
          <w:szCs w:val="28"/>
        </w:rPr>
      </w:pPr>
      <w:r>
        <w:rPr>
          <w:rFonts w:hint="default" w:ascii="黑体" w:hAnsi="黑体" w:eastAsia="黑体" w:cs="黑体"/>
          <w:sz w:val="28"/>
          <w:szCs w:val="28"/>
        </w:rPr>
        <w:t>第二章 审查标准</w:t>
      </w:r>
    </w:p>
    <w:p>
      <w:pPr>
        <w:spacing w:line="360" w:lineRule="auto"/>
        <w:ind w:firstLine="482" w:firstLineChars="200"/>
        <w:rPr>
          <w:rFonts w:hint="default"/>
          <w:sz w:val="24"/>
          <w:szCs w:val="24"/>
        </w:rPr>
      </w:pPr>
      <w:r>
        <w:rPr>
          <w:rFonts w:hint="default" w:ascii="黑体" w:hAnsi="黑体" w:eastAsia="黑体" w:cs="黑体"/>
          <w:b/>
          <w:bCs/>
          <w:sz w:val="24"/>
          <w:szCs w:val="24"/>
        </w:rPr>
        <w:t>第五条</w:t>
      </w:r>
      <w:r>
        <w:rPr>
          <w:rFonts w:hint="default"/>
          <w:color w:val="0000FF"/>
          <w:sz w:val="24"/>
          <w:szCs w:val="24"/>
        </w:rPr>
        <w:t> 政策制定机关应当尊重和保障招标人组织招标、选择招标代理机构、编制资格预审文件和招标文件的自主权，</w:t>
      </w:r>
      <w:r>
        <w:rPr>
          <w:rFonts w:hint="default"/>
          <w:color w:val="0000FF"/>
          <w:sz w:val="24"/>
          <w:szCs w:val="24"/>
          <w:highlight w:val="yellow"/>
        </w:rPr>
        <w:t>不得</w:t>
      </w:r>
      <w:r>
        <w:rPr>
          <w:rFonts w:hint="default"/>
          <w:color w:val="0000FF"/>
          <w:sz w:val="24"/>
          <w:szCs w:val="24"/>
        </w:rPr>
        <w:t>制定以下政策措施：</w:t>
      </w:r>
    </w:p>
    <w:p>
      <w:pPr>
        <w:numPr>
          <w:ilvl w:val="0"/>
          <w:numId w:val="0"/>
        </w:numPr>
        <w:spacing w:line="360" w:lineRule="auto"/>
        <w:ind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为招标人指定招标代理机构或者违法限定招标人选择招标代理机构的方式；</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（二）</w:t>
      </w:r>
      <w:r>
        <w:rPr>
          <w:rFonts w:hint="default"/>
          <w:sz w:val="24"/>
          <w:szCs w:val="24"/>
        </w:rPr>
        <w:t>为招标人指定投标资格、技术、商务条件；</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（三）</w:t>
      </w:r>
      <w:r>
        <w:rPr>
          <w:rFonts w:hint="default"/>
          <w:sz w:val="24"/>
          <w:szCs w:val="24"/>
        </w:rPr>
        <w:t>为招标人指定特定类型的资格审查方法或者评标方法；</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（四）</w:t>
      </w:r>
      <w:r>
        <w:rPr>
          <w:rFonts w:hint="default"/>
          <w:sz w:val="24"/>
          <w:szCs w:val="24"/>
        </w:rPr>
        <w:t>为招标人指定具体的资格审查标准或者评标标准；</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（五）</w:t>
      </w:r>
      <w:r>
        <w:rPr>
          <w:rFonts w:hint="default"/>
          <w:sz w:val="24"/>
          <w:szCs w:val="24"/>
        </w:rPr>
        <w:t>为招标人指定评标委员会成员；</w:t>
      </w:r>
    </w:p>
    <w:p>
      <w:pPr>
        <w:numPr>
          <w:ilvl w:val="0"/>
          <w:numId w:val="0"/>
        </w:numPr>
        <w:spacing w:line="360" w:lineRule="auto"/>
        <w:ind w:left="0" w:leftChars="0" w:firstLine="480" w:firstLineChars="200"/>
        <w:rPr>
          <w:sz w:val="24"/>
          <w:szCs w:val="24"/>
        </w:rPr>
      </w:pPr>
      <w:r>
        <w:rPr>
          <w:rFonts w:hint="eastAsia" w:asciiTheme="minorHAnsi" w:hAnsiTheme="minorHAnsi" w:eastAsiaTheme="minorEastAsia" w:cstheme="minorBidi"/>
          <w:kern w:val="2"/>
          <w:sz w:val="24"/>
          <w:szCs w:val="24"/>
          <w:lang w:val="en-US" w:eastAsia="zh-CN" w:bidi="ar-SA"/>
        </w:rPr>
        <w:t>（六）</w:t>
      </w:r>
      <w:r>
        <w:rPr>
          <w:rFonts w:hint="default"/>
          <w:sz w:val="24"/>
          <w:szCs w:val="24"/>
        </w:rPr>
        <w:t>对于已经纳入统一的公共资源交易平台体系的电子交易系统，限制招标人自主选择；</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（七）</w:t>
      </w:r>
      <w:r>
        <w:rPr>
          <w:rFonts w:hint="default"/>
          <w:sz w:val="24"/>
          <w:szCs w:val="24"/>
        </w:rPr>
        <w:t>强制招标人或者招标代理机构选择电子认证服务；</w:t>
      </w:r>
    </w:p>
    <w:p>
      <w:pPr>
        <w:numPr>
          <w:ilvl w:val="0"/>
          <w:numId w:val="0"/>
        </w:numPr>
        <w:spacing w:line="360" w:lineRule="auto"/>
        <w:ind w:left="0" w:leftChars="0" w:firstLine="480" w:firstLineChars="200"/>
        <w:rPr>
          <w:rFonts w:hint="default"/>
          <w:sz w:val="24"/>
          <w:szCs w:val="24"/>
        </w:rPr>
      </w:pPr>
      <w:r>
        <w:rPr>
          <w:rFonts w:hint="default"/>
          <w:sz w:val="24"/>
          <w:szCs w:val="24"/>
        </w:rPr>
        <w:t>（八）为招标人或者招标代理机构指定特定交易工具；</w:t>
      </w:r>
    </w:p>
    <w:p>
      <w:pPr>
        <w:numPr>
          <w:ilvl w:val="0"/>
          <w:numId w:val="0"/>
        </w:numPr>
        <w:spacing w:line="360" w:lineRule="auto"/>
        <w:ind w:left="0" w:leftChars="0" w:firstLine="480" w:firstLineChars="200"/>
        <w:rPr>
          <w:rFonts w:hint="default"/>
          <w:sz w:val="24"/>
          <w:szCs w:val="24"/>
        </w:rPr>
      </w:pPr>
      <w:r>
        <w:rPr>
          <w:rFonts w:hint="default"/>
          <w:sz w:val="24"/>
          <w:szCs w:val="24"/>
        </w:rPr>
        <w:t>（九）为招标人指定承包商（供应商）预选库、资格库或者备选名录等；</w:t>
      </w:r>
    </w:p>
    <w:p>
      <w:pPr>
        <w:numPr>
          <w:ilvl w:val="0"/>
          <w:numId w:val="0"/>
        </w:numPr>
        <w:spacing w:line="360" w:lineRule="auto"/>
        <w:ind w:left="0" w:leftChars="0" w:firstLine="480" w:firstLineChars="200"/>
        <w:rPr>
          <w:rFonts w:hint="default"/>
          <w:sz w:val="24"/>
          <w:szCs w:val="24"/>
        </w:rPr>
      </w:pPr>
      <w:r>
        <w:rPr>
          <w:rFonts w:hint="default"/>
          <w:sz w:val="24"/>
          <w:szCs w:val="24"/>
        </w:rPr>
        <w:t>（十）要求招标人依照本地区创新产品名单、优先采购产品名单等地方性扶持政策开展招标投标活动；</w:t>
      </w:r>
    </w:p>
    <w:p>
      <w:pPr>
        <w:numPr>
          <w:ilvl w:val="0"/>
          <w:numId w:val="0"/>
        </w:numPr>
        <w:spacing w:line="360" w:lineRule="auto"/>
        <w:ind w:left="0" w:leftChars="0" w:firstLine="480" w:firstLineChars="200"/>
        <w:rPr>
          <w:rFonts w:hint="default"/>
          <w:sz w:val="24"/>
          <w:szCs w:val="24"/>
        </w:rPr>
      </w:pPr>
      <w:r>
        <w:rPr>
          <w:rFonts w:hint="default"/>
          <w:sz w:val="24"/>
          <w:szCs w:val="24"/>
        </w:rPr>
        <w:t>（十一）以其他不合理条件限制招标人自主权的政策措施。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第六条</w:t>
      </w:r>
      <w:r>
        <w:rPr>
          <w:rFonts w:hint="default"/>
          <w:sz w:val="24"/>
          <w:szCs w:val="24"/>
        </w:rPr>
        <w:t> 政策制定机关应当</w:t>
      </w:r>
      <w:r>
        <w:rPr>
          <w:rFonts w:hint="default"/>
          <w:color w:val="0000FF"/>
          <w:sz w:val="24"/>
          <w:szCs w:val="24"/>
        </w:rPr>
        <w:t>落实全国统一的市场准入条件</w:t>
      </w:r>
      <w:r>
        <w:rPr>
          <w:rFonts w:hint="default"/>
          <w:sz w:val="24"/>
          <w:szCs w:val="24"/>
        </w:rPr>
        <w:t>，对经营主体参与投标活动，</w:t>
      </w:r>
      <w:r>
        <w:rPr>
          <w:rFonts w:hint="default"/>
          <w:color w:val="0000FF"/>
          <w:sz w:val="24"/>
          <w:szCs w:val="24"/>
          <w:highlight w:val="yellow"/>
        </w:rPr>
        <w:t>不得</w:t>
      </w:r>
      <w:r>
        <w:rPr>
          <w:rFonts w:hint="default"/>
          <w:color w:val="0000FF"/>
          <w:sz w:val="24"/>
          <w:szCs w:val="24"/>
        </w:rPr>
        <w:t>制定以下政策措施：</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对市场准入负面清单以外的行业、领域、业务，要求经营主体在参与投标活动前取得行政许可；</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（二）</w:t>
      </w:r>
      <w:r>
        <w:rPr>
          <w:rFonts w:hint="default"/>
          <w:sz w:val="24"/>
          <w:szCs w:val="24"/>
        </w:rPr>
        <w:t>要求经营主体在本地区设立分支机构、缴纳税收社保或者与本地区经营主体组成联合体；</w:t>
      </w:r>
    </w:p>
    <w:p>
      <w:pPr>
        <w:numPr>
          <w:ilvl w:val="0"/>
          <w:numId w:val="0"/>
        </w:numPr>
        <w:spacing w:line="360" w:lineRule="auto"/>
        <w:ind w:left="0" w:leftChars="0" w:firstLine="480" w:firstLineChars="200"/>
        <w:rPr>
          <w:rFonts w:hint="default"/>
          <w:sz w:val="24"/>
          <w:szCs w:val="24"/>
        </w:rPr>
      </w:pPr>
      <w:r>
        <w:rPr>
          <w:rFonts w:hint="default"/>
          <w:sz w:val="24"/>
          <w:szCs w:val="24"/>
        </w:rPr>
        <w:t>（三）要求经营主体取得本地区业绩或者奖项；</w:t>
      </w:r>
    </w:p>
    <w:p>
      <w:pPr>
        <w:numPr>
          <w:ilvl w:val="0"/>
          <w:numId w:val="0"/>
        </w:numPr>
        <w:spacing w:line="360" w:lineRule="auto"/>
        <w:ind w:left="0" w:leftChars="0" w:firstLine="480" w:firstLineChars="200"/>
        <w:rPr>
          <w:rFonts w:hint="default"/>
          <w:sz w:val="24"/>
          <w:szCs w:val="24"/>
        </w:rPr>
      </w:pPr>
      <w:r>
        <w:rPr>
          <w:rFonts w:hint="default"/>
          <w:sz w:val="24"/>
          <w:szCs w:val="24"/>
        </w:rPr>
        <w:t>（四）要求经营主体取得培训合格证、上岗证等特定地区或者特定行业组织颁发的相关证书；</w:t>
      </w:r>
    </w:p>
    <w:p>
      <w:pPr>
        <w:numPr>
          <w:ilvl w:val="0"/>
          <w:numId w:val="0"/>
        </w:numPr>
        <w:spacing w:line="360" w:lineRule="auto"/>
        <w:ind w:left="0" w:leftChars="0" w:firstLine="480" w:firstLineChars="200"/>
        <w:rPr>
          <w:rFonts w:hint="default"/>
          <w:sz w:val="24"/>
          <w:szCs w:val="24"/>
        </w:rPr>
      </w:pPr>
      <w:r>
        <w:rPr>
          <w:rFonts w:hint="default"/>
          <w:sz w:val="24"/>
          <w:szCs w:val="24"/>
        </w:rPr>
        <w:t>（五）要求经营主体取得特定行业组织成员身份；</w:t>
      </w:r>
    </w:p>
    <w:p>
      <w:pPr>
        <w:numPr>
          <w:ilvl w:val="0"/>
          <w:numId w:val="0"/>
        </w:numPr>
        <w:spacing w:line="360" w:lineRule="auto"/>
        <w:ind w:left="0" w:leftChars="0" w:firstLine="480" w:firstLineChars="200"/>
        <w:rPr>
          <w:rFonts w:hint="default"/>
          <w:sz w:val="24"/>
          <w:szCs w:val="24"/>
        </w:rPr>
      </w:pPr>
      <w:r>
        <w:rPr>
          <w:rFonts w:hint="default"/>
          <w:sz w:val="24"/>
          <w:szCs w:val="24"/>
        </w:rPr>
        <w:t>（六）以其他不合理条件限制经营主体参与投标的政策措施。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第七条</w:t>
      </w:r>
      <w:r>
        <w:rPr>
          <w:rFonts w:hint="default"/>
          <w:sz w:val="24"/>
          <w:szCs w:val="24"/>
        </w:rPr>
        <w:t> 政策制定机关制定标准招标文件（示范文本）和标准资格预审文件（示范文本），应当平等对待不同地区、所有制形式的经营主体，</w:t>
      </w:r>
      <w:r>
        <w:rPr>
          <w:rFonts w:hint="default"/>
          <w:color w:val="0000FF"/>
          <w:sz w:val="24"/>
          <w:szCs w:val="24"/>
          <w:highlight w:val="yellow"/>
        </w:rPr>
        <w:t>不得</w:t>
      </w:r>
      <w:r>
        <w:rPr>
          <w:rFonts w:hint="default"/>
          <w:sz w:val="24"/>
          <w:szCs w:val="24"/>
        </w:rPr>
        <w:t>在标准招标文件（示范文本）和标准资格预审文件（示范文本）中设置以下内容：</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根据经营主体取得业绩的区域设置差异性得分；</w:t>
      </w:r>
    </w:p>
    <w:p>
      <w:pPr>
        <w:numPr>
          <w:ilvl w:val="0"/>
          <w:numId w:val="0"/>
        </w:numPr>
        <w:spacing w:line="360" w:lineRule="auto"/>
        <w:ind w:left="0" w:leftChars="0" w:firstLine="480" w:firstLineChars="200"/>
        <w:rPr>
          <w:rFonts w:hint="default"/>
          <w:sz w:val="24"/>
          <w:szCs w:val="24"/>
        </w:rPr>
      </w:pPr>
      <w:r>
        <w:rPr>
          <w:rFonts w:hint="default"/>
          <w:sz w:val="24"/>
          <w:szCs w:val="24"/>
        </w:rPr>
        <w:t>（二）根据经营主体的所有制形式设置差异性得分；</w:t>
      </w:r>
    </w:p>
    <w:p>
      <w:pPr>
        <w:numPr>
          <w:ilvl w:val="0"/>
          <w:numId w:val="0"/>
        </w:numPr>
        <w:spacing w:line="360" w:lineRule="auto"/>
        <w:ind w:left="0" w:leftChars="0" w:firstLine="480" w:firstLineChars="200"/>
        <w:rPr>
          <w:rFonts w:hint="default"/>
          <w:sz w:val="24"/>
          <w:szCs w:val="24"/>
        </w:rPr>
      </w:pPr>
      <w:r>
        <w:rPr>
          <w:rFonts w:hint="default"/>
          <w:sz w:val="24"/>
          <w:szCs w:val="24"/>
        </w:rPr>
        <w:t>（三）根据经营主体投标产品的产地设置差异性得分；</w:t>
      </w:r>
    </w:p>
    <w:p>
      <w:pPr>
        <w:numPr>
          <w:ilvl w:val="0"/>
          <w:numId w:val="0"/>
        </w:numPr>
        <w:spacing w:line="360" w:lineRule="auto"/>
        <w:ind w:left="0" w:leftChars="0" w:firstLine="480" w:firstLineChars="200"/>
        <w:rPr>
          <w:rFonts w:hint="default"/>
          <w:sz w:val="24"/>
          <w:szCs w:val="24"/>
        </w:rPr>
      </w:pPr>
      <w:r>
        <w:rPr>
          <w:rFonts w:hint="default"/>
          <w:sz w:val="24"/>
          <w:szCs w:val="24"/>
        </w:rPr>
        <w:t>（四）根据经营主体的规模、注册地址、注册资金、市场占有率、负债率、净资产规模等设置差异性得分；</w:t>
      </w:r>
    </w:p>
    <w:p>
      <w:pPr>
        <w:numPr>
          <w:ilvl w:val="0"/>
          <w:numId w:val="0"/>
        </w:numPr>
        <w:spacing w:line="360" w:lineRule="auto"/>
        <w:ind w:left="0" w:leftChars="0" w:firstLine="480" w:firstLineChars="200"/>
        <w:rPr>
          <w:rFonts w:hint="default"/>
          <w:sz w:val="24"/>
          <w:szCs w:val="24"/>
        </w:rPr>
      </w:pPr>
      <w:r>
        <w:rPr>
          <w:rFonts w:hint="default"/>
          <w:sz w:val="24"/>
          <w:szCs w:val="24"/>
        </w:rPr>
        <w:t>（五）根据联合体成员单位的注册地址、所有制形式等设置差异性得分；</w:t>
      </w:r>
    </w:p>
    <w:p>
      <w:pPr>
        <w:numPr>
          <w:ilvl w:val="0"/>
          <w:numId w:val="0"/>
        </w:numPr>
        <w:spacing w:line="360" w:lineRule="auto"/>
        <w:ind w:left="0" w:leftChars="0" w:firstLine="480" w:firstLineChars="200"/>
        <w:rPr>
          <w:rFonts w:hint="default"/>
          <w:sz w:val="24"/>
          <w:szCs w:val="24"/>
        </w:rPr>
      </w:pPr>
      <w:r>
        <w:rPr>
          <w:rFonts w:hint="default"/>
          <w:sz w:val="24"/>
          <w:szCs w:val="24"/>
        </w:rPr>
        <w:t>（六）其他排除或者限制竞争的内容。</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第八条</w:t>
      </w:r>
      <w:r>
        <w:rPr>
          <w:rFonts w:hint="default"/>
          <w:sz w:val="24"/>
          <w:szCs w:val="24"/>
        </w:rPr>
        <w:t> 政策制定机关制定定标相关政策措施，</w:t>
      </w:r>
      <w:r>
        <w:rPr>
          <w:rFonts w:hint="default"/>
          <w:color w:val="0000FF"/>
          <w:sz w:val="24"/>
          <w:szCs w:val="24"/>
        </w:rPr>
        <w:t>应当尊重和保障招标人定标权</w:t>
      </w:r>
      <w:r>
        <w:rPr>
          <w:rFonts w:hint="default"/>
          <w:sz w:val="24"/>
          <w:szCs w:val="24"/>
        </w:rPr>
        <w:t>，落实招标人定标主体责任，</w:t>
      </w:r>
      <w:r>
        <w:rPr>
          <w:rFonts w:hint="default"/>
          <w:color w:val="0000FF"/>
          <w:sz w:val="24"/>
          <w:szCs w:val="24"/>
          <w:highlight w:val="yellow"/>
        </w:rPr>
        <w:t>不得</w:t>
      </w:r>
      <w:r>
        <w:rPr>
          <w:rFonts w:hint="default"/>
          <w:color w:val="0000FF"/>
          <w:sz w:val="24"/>
          <w:szCs w:val="24"/>
        </w:rPr>
        <w:t>制定以下政策措施</w:t>
      </w:r>
      <w:r>
        <w:rPr>
          <w:rFonts w:hint="default"/>
          <w:sz w:val="24"/>
          <w:szCs w:val="24"/>
        </w:rPr>
        <w:t>：</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为招标人指定定标方法；</w:t>
      </w:r>
    </w:p>
    <w:p>
      <w:pPr>
        <w:numPr>
          <w:ilvl w:val="0"/>
          <w:numId w:val="0"/>
        </w:numPr>
        <w:spacing w:line="360" w:lineRule="auto"/>
        <w:ind w:left="0" w:leftChars="0" w:firstLine="480" w:firstLineChars="200"/>
        <w:rPr>
          <w:rFonts w:hint="default"/>
          <w:sz w:val="24"/>
          <w:szCs w:val="24"/>
        </w:rPr>
      </w:pPr>
      <w:r>
        <w:rPr>
          <w:rFonts w:hint="default"/>
          <w:sz w:val="24"/>
          <w:szCs w:val="24"/>
        </w:rPr>
        <w:t>（二）为招标人指定定标单位或者定标人员；</w:t>
      </w:r>
    </w:p>
    <w:p>
      <w:pPr>
        <w:numPr>
          <w:ilvl w:val="0"/>
          <w:numId w:val="0"/>
        </w:numPr>
        <w:spacing w:line="360" w:lineRule="auto"/>
        <w:ind w:left="0" w:leftChars="0" w:firstLine="480" w:firstLineChars="200"/>
        <w:rPr>
          <w:rFonts w:hint="default"/>
          <w:sz w:val="24"/>
          <w:szCs w:val="24"/>
        </w:rPr>
      </w:pPr>
      <w:r>
        <w:rPr>
          <w:rFonts w:hint="default"/>
          <w:sz w:val="24"/>
          <w:szCs w:val="24"/>
        </w:rPr>
        <w:t>（三）将定标权交由招标人或者其授权的评标委员会以外的其他单位或者人员行使；</w:t>
      </w:r>
    </w:p>
    <w:p>
      <w:pPr>
        <w:numPr>
          <w:ilvl w:val="0"/>
          <w:numId w:val="0"/>
        </w:numPr>
        <w:spacing w:line="360" w:lineRule="auto"/>
        <w:ind w:left="0" w:leftChars="0" w:firstLine="480" w:firstLineChars="200"/>
        <w:rPr>
          <w:rFonts w:hint="default"/>
          <w:sz w:val="24"/>
          <w:szCs w:val="24"/>
        </w:rPr>
      </w:pPr>
      <w:r>
        <w:rPr>
          <w:rFonts w:hint="default"/>
          <w:sz w:val="24"/>
          <w:szCs w:val="24"/>
        </w:rPr>
        <w:t>（四）规定直接以抽签、摇号、抓阄等方式确定合格投标人、中标候选人或者中标人；</w:t>
      </w:r>
    </w:p>
    <w:p>
      <w:pPr>
        <w:numPr>
          <w:ilvl w:val="0"/>
          <w:numId w:val="0"/>
        </w:numPr>
        <w:spacing w:line="360" w:lineRule="auto"/>
        <w:ind w:left="0" w:leftChars="0" w:firstLine="480" w:firstLineChars="200"/>
        <w:rPr>
          <w:rFonts w:hint="default"/>
          <w:sz w:val="24"/>
          <w:szCs w:val="24"/>
        </w:rPr>
      </w:pPr>
      <w:r>
        <w:rPr>
          <w:rFonts w:hint="default"/>
          <w:sz w:val="24"/>
          <w:szCs w:val="24"/>
        </w:rPr>
        <w:t>（五）以其他不合理条件限制招标人定标权的政策措施。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第九条</w:t>
      </w:r>
      <w:r>
        <w:rPr>
          <w:rFonts w:hint="default"/>
          <w:sz w:val="24"/>
          <w:szCs w:val="24"/>
        </w:rPr>
        <w:t> 政策制定机关可以通过组织开展信用评价引导经营主体诚信守法参与招标投标活动，并可以通过制定实施相应政策措施鼓励经营主体应用信用评价结果，但应当平等对待不同地区、所有制形式的经营主体，依法保障经营主体自主权，不得制定以下政策措施：</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在信用信息记录、归集、共享等方面对不同地区或者所有制形式的经营主体作出区别规定；</w:t>
      </w:r>
    </w:p>
    <w:p>
      <w:pPr>
        <w:numPr>
          <w:ilvl w:val="0"/>
          <w:numId w:val="0"/>
        </w:numPr>
        <w:spacing w:line="360" w:lineRule="auto"/>
        <w:ind w:left="0" w:leftChars="0" w:firstLine="480" w:firstLineChars="200"/>
        <w:rPr>
          <w:rFonts w:hint="default"/>
          <w:sz w:val="24"/>
          <w:szCs w:val="24"/>
        </w:rPr>
      </w:pPr>
      <w:r>
        <w:rPr>
          <w:rFonts w:hint="default"/>
          <w:sz w:val="24"/>
          <w:szCs w:val="24"/>
        </w:rPr>
        <w:t>（二）对不同地区或者所有制形式经营主体的资质、资格、业绩等采用不同信用评价标准；</w:t>
      </w:r>
    </w:p>
    <w:p>
      <w:pPr>
        <w:numPr>
          <w:ilvl w:val="0"/>
          <w:numId w:val="0"/>
        </w:numPr>
        <w:spacing w:line="360" w:lineRule="auto"/>
        <w:ind w:left="0" w:leftChars="0" w:firstLine="480" w:firstLineChars="200"/>
        <w:rPr>
          <w:rFonts w:hint="default"/>
          <w:sz w:val="24"/>
          <w:szCs w:val="24"/>
        </w:rPr>
      </w:pPr>
      <w:r>
        <w:rPr>
          <w:rFonts w:hint="default"/>
          <w:sz w:val="24"/>
          <w:szCs w:val="24"/>
        </w:rPr>
        <w:t>（三）根据经营主体的所在地区或者所有制形式采取差异化的信用监管措施；</w:t>
      </w:r>
    </w:p>
    <w:p>
      <w:pPr>
        <w:numPr>
          <w:ilvl w:val="0"/>
          <w:numId w:val="0"/>
        </w:numPr>
        <w:spacing w:line="360" w:lineRule="auto"/>
        <w:ind w:left="0" w:leftChars="0" w:firstLine="480" w:firstLineChars="200"/>
        <w:rPr>
          <w:rFonts w:hint="default"/>
          <w:sz w:val="24"/>
          <w:szCs w:val="24"/>
        </w:rPr>
      </w:pPr>
      <w:r>
        <w:rPr>
          <w:rFonts w:hint="default"/>
          <w:sz w:val="24"/>
          <w:szCs w:val="24"/>
        </w:rPr>
        <w:t>（四）没有法定依据，限制经营主体参考使用信用评价结果的自主权；</w:t>
      </w:r>
    </w:p>
    <w:p>
      <w:pPr>
        <w:numPr>
          <w:ilvl w:val="0"/>
          <w:numId w:val="0"/>
        </w:numPr>
        <w:spacing w:line="360" w:lineRule="auto"/>
        <w:ind w:left="0" w:leftChars="0" w:firstLine="480" w:firstLineChars="200"/>
        <w:rPr>
          <w:rFonts w:hint="default"/>
          <w:sz w:val="24"/>
          <w:szCs w:val="24"/>
        </w:rPr>
      </w:pPr>
      <w:r>
        <w:rPr>
          <w:rFonts w:hint="default"/>
          <w:sz w:val="24"/>
          <w:szCs w:val="24"/>
        </w:rPr>
        <w:t>（五）其他排除限制竞争或者损害经营主体合法权益的政策措施。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第十条</w:t>
      </w:r>
      <w:r>
        <w:rPr>
          <w:rFonts w:hint="default"/>
          <w:sz w:val="24"/>
          <w:szCs w:val="24"/>
        </w:rPr>
        <w:t> 政策制定机关制定涉及招标投标交易监管和服务的政策措施，应当平等保障各类经营主体参与，</w:t>
      </w:r>
      <w:r>
        <w:rPr>
          <w:rFonts w:hint="default"/>
          <w:color w:val="0000FF"/>
          <w:sz w:val="24"/>
          <w:szCs w:val="24"/>
          <w:highlight w:val="yellow"/>
        </w:rPr>
        <w:t>不得</w:t>
      </w:r>
      <w:r>
        <w:rPr>
          <w:rFonts w:hint="default"/>
          <w:sz w:val="24"/>
          <w:szCs w:val="24"/>
        </w:rPr>
        <w:t>在交易流程上制定以下政策措施：</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sz w:val="24"/>
          <w:szCs w:val="24"/>
        </w:rPr>
        <w:t>规定招标投标交易服务机构行使审批、备案、监管、处罚等具有行政管理性质的职能；</w:t>
      </w:r>
    </w:p>
    <w:p>
      <w:pPr>
        <w:numPr>
          <w:ilvl w:val="0"/>
          <w:numId w:val="0"/>
        </w:numPr>
        <w:spacing w:line="360" w:lineRule="auto"/>
        <w:ind w:left="0" w:leftChars="0" w:firstLine="480" w:firstLineChars="200"/>
        <w:rPr>
          <w:rFonts w:hint="default"/>
          <w:sz w:val="24"/>
          <w:szCs w:val="24"/>
        </w:rPr>
      </w:pPr>
      <w:r>
        <w:rPr>
          <w:rFonts w:hint="default"/>
          <w:sz w:val="24"/>
          <w:szCs w:val="24"/>
        </w:rPr>
        <w:t>（二）</w:t>
      </w:r>
      <w:r>
        <w:rPr>
          <w:rFonts w:hint="default"/>
          <w:color w:val="0000FF"/>
          <w:sz w:val="24"/>
          <w:szCs w:val="24"/>
        </w:rPr>
        <w:t>强制非公共资源交易项目进入公共资源交易平台交易</w:t>
      </w:r>
      <w:r>
        <w:rPr>
          <w:rFonts w:hint="default"/>
          <w:sz w:val="24"/>
          <w:szCs w:val="24"/>
        </w:rPr>
        <w:t>；</w:t>
      </w:r>
    </w:p>
    <w:p>
      <w:pPr>
        <w:numPr>
          <w:ilvl w:val="0"/>
          <w:numId w:val="0"/>
        </w:numPr>
        <w:spacing w:line="360" w:lineRule="auto"/>
        <w:ind w:left="0" w:leftChars="0" w:firstLine="480" w:firstLineChars="200"/>
        <w:rPr>
          <w:rFonts w:hint="default"/>
          <w:sz w:val="24"/>
          <w:szCs w:val="24"/>
        </w:rPr>
      </w:pPr>
      <w:r>
        <w:rPr>
          <w:rFonts w:hint="default"/>
          <w:sz w:val="24"/>
          <w:szCs w:val="24"/>
        </w:rPr>
        <w:t>（三）</w:t>
      </w:r>
      <w:r>
        <w:rPr>
          <w:rFonts w:hint="default"/>
          <w:color w:val="0000FF"/>
          <w:sz w:val="24"/>
          <w:szCs w:val="24"/>
        </w:rPr>
        <w:t>对能够通过告知承诺和事后核验核实真伪的事项，强制投标人在投标环节提供原件；</w:t>
      </w:r>
    </w:p>
    <w:p>
      <w:pPr>
        <w:numPr>
          <w:ilvl w:val="0"/>
          <w:numId w:val="0"/>
        </w:numPr>
        <w:spacing w:line="360" w:lineRule="auto"/>
        <w:ind w:left="0" w:leftChars="0" w:firstLine="480" w:firstLineChars="200"/>
        <w:rPr>
          <w:rFonts w:hint="default"/>
          <w:sz w:val="24"/>
          <w:szCs w:val="24"/>
        </w:rPr>
      </w:pPr>
      <w:r>
        <w:rPr>
          <w:rFonts w:hint="default"/>
          <w:sz w:val="24"/>
          <w:szCs w:val="24"/>
        </w:rPr>
        <w:t>（四）在获取招标文件、开标环节违法要求投标人的法定代表人、技术负责人、项目负责人或者其他特定人员到场；</w:t>
      </w:r>
    </w:p>
    <w:p>
      <w:pPr>
        <w:numPr>
          <w:ilvl w:val="0"/>
          <w:numId w:val="0"/>
        </w:numPr>
        <w:spacing w:line="360" w:lineRule="auto"/>
        <w:ind w:left="0" w:leftChars="0" w:firstLine="480" w:firstLineChars="200"/>
        <w:rPr>
          <w:rFonts w:hint="default"/>
          <w:sz w:val="24"/>
          <w:szCs w:val="24"/>
        </w:rPr>
      </w:pPr>
      <w:r>
        <w:rPr>
          <w:rFonts w:hint="default"/>
          <w:sz w:val="24"/>
          <w:szCs w:val="24"/>
        </w:rPr>
        <w:t>（五）其他不当限制经营主体参与招标投标的政策措施。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第十一条</w:t>
      </w:r>
      <w:r>
        <w:rPr>
          <w:rFonts w:hint="default"/>
          <w:sz w:val="24"/>
          <w:szCs w:val="24"/>
        </w:rPr>
        <w:t> 政策制定机关制定</w:t>
      </w:r>
      <w:r>
        <w:rPr>
          <w:rFonts w:hint="default"/>
          <w:color w:val="0000FF"/>
          <w:sz w:val="24"/>
          <w:szCs w:val="24"/>
        </w:rPr>
        <w:t>涉及保证金的政策措施</w:t>
      </w:r>
      <w:r>
        <w:rPr>
          <w:rFonts w:hint="default"/>
          <w:sz w:val="24"/>
          <w:szCs w:val="24"/>
        </w:rPr>
        <w:t>，</w:t>
      </w:r>
      <w:bookmarkStart w:id="0" w:name="_GoBack"/>
      <w:r>
        <w:rPr>
          <w:rFonts w:hint="default"/>
          <w:color w:val="0000FF"/>
          <w:sz w:val="24"/>
          <w:szCs w:val="24"/>
          <w:highlight w:val="yellow"/>
        </w:rPr>
        <w:t>不得</w:t>
      </w:r>
      <w:bookmarkEnd w:id="0"/>
      <w:r>
        <w:rPr>
          <w:rFonts w:hint="default"/>
          <w:sz w:val="24"/>
          <w:szCs w:val="24"/>
        </w:rPr>
        <w:t>设置以下不合理限制：</w:t>
      </w:r>
    </w:p>
    <w:p>
      <w:pPr>
        <w:numPr>
          <w:ilvl w:val="0"/>
          <w:numId w:val="0"/>
        </w:numPr>
        <w:spacing w:line="360" w:lineRule="auto"/>
        <w:ind w:left="0" w:leftChars="0" w:firstLine="480" w:firstLineChars="200"/>
        <w:rPr>
          <w:rFonts w:hint="default"/>
          <w:sz w:val="24"/>
          <w:szCs w:val="24"/>
        </w:rPr>
      </w:pPr>
      <w:r>
        <w:rPr>
          <w:rFonts w:hint="eastAsia" w:asciiTheme="minorHAnsi" w:hAnsiTheme="minorHAnsi" w:eastAsiaTheme="minorEastAsia" w:cstheme="minorBidi"/>
          <w:kern w:val="2"/>
          <w:sz w:val="24"/>
          <w:szCs w:val="24"/>
          <w:lang w:val="en-US" w:eastAsia="zh-CN" w:bidi="ar-SA"/>
        </w:rPr>
        <w:t>（一）</w:t>
      </w:r>
      <w:r>
        <w:rPr>
          <w:rFonts w:hint="default"/>
          <w:color w:val="0000FF"/>
          <w:sz w:val="24"/>
          <w:szCs w:val="24"/>
        </w:rPr>
        <w:t>限制招标人依法收取保证金</w:t>
      </w:r>
      <w:r>
        <w:rPr>
          <w:rFonts w:hint="default"/>
          <w:sz w:val="24"/>
          <w:szCs w:val="24"/>
        </w:rPr>
        <w:t>；</w:t>
      </w:r>
    </w:p>
    <w:p>
      <w:pPr>
        <w:numPr>
          <w:ilvl w:val="0"/>
          <w:numId w:val="0"/>
        </w:numPr>
        <w:spacing w:line="360" w:lineRule="auto"/>
        <w:ind w:left="0" w:leftChars="0" w:firstLine="480" w:firstLineChars="200"/>
        <w:rPr>
          <w:rFonts w:hint="default"/>
          <w:sz w:val="24"/>
          <w:szCs w:val="24"/>
        </w:rPr>
      </w:pPr>
      <w:r>
        <w:rPr>
          <w:rFonts w:hint="default"/>
          <w:sz w:val="24"/>
          <w:szCs w:val="24"/>
        </w:rPr>
        <w:t>（二）</w:t>
      </w:r>
      <w:r>
        <w:rPr>
          <w:rFonts w:hint="default"/>
          <w:color w:val="0000FF"/>
          <w:sz w:val="24"/>
          <w:szCs w:val="24"/>
        </w:rPr>
        <w:t>要求经营主体缴纳除投标保证金、履约保证金、工程质量保证金、农民工工资保证金以外的其他保证金</w:t>
      </w:r>
      <w:r>
        <w:rPr>
          <w:rFonts w:hint="default"/>
          <w:sz w:val="24"/>
          <w:szCs w:val="24"/>
        </w:rPr>
        <w:t>；</w:t>
      </w:r>
    </w:p>
    <w:p>
      <w:pPr>
        <w:numPr>
          <w:ilvl w:val="0"/>
          <w:numId w:val="0"/>
        </w:numPr>
        <w:spacing w:line="360" w:lineRule="auto"/>
        <w:ind w:left="0" w:leftChars="0" w:firstLine="480" w:firstLineChars="200"/>
        <w:rPr>
          <w:rFonts w:hint="default"/>
          <w:sz w:val="24"/>
          <w:szCs w:val="24"/>
        </w:rPr>
      </w:pPr>
      <w:r>
        <w:rPr>
          <w:rFonts w:hint="default"/>
          <w:sz w:val="24"/>
          <w:szCs w:val="24"/>
        </w:rPr>
        <w:t>（三）限定经营主体缴纳保证金的形式；</w:t>
      </w:r>
    </w:p>
    <w:p>
      <w:pPr>
        <w:numPr>
          <w:ilvl w:val="0"/>
          <w:numId w:val="0"/>
        </w:numPr>
        <w:spacing w:line="360" w:lineRule="auto"/>
        <w:ind w:left="0" w:leftChars="0" w:firstLine="480" w:firstLineChars="200"/>
        <w:rPr>
          <w:rFonts w:hint="default"/>
          <w:sz w:val="24"/>
          <w:szCs w:val="24"/>
        </w:rPr>
      </w:pPr>
      <w:r>
        <w:rPr>
          <w:rFonts w:hint="default"/>
          <w:sz w:val="24"/>
          <w:szCs w:val="24"/>
        </w:rPr>
        <w:t>（四）要求经营主体从特定机构开具保函（保险）；</w:t>
      </w:r>
    </w:p>
    <w:p>
      <w:pPr>
        <w:numPr>
          <w:ilvl w:val="0"/>
          <w:numId w:val="0"/>
        </w:numPr>
        <w:spacing w:line="360" w:lineRule="auto"/>
        <w:ind w:left="0" w:leftChars="0" w:firstLine="480" w:firstLineChars="200"/>
        <w:rPr>
          <w:rFonts w:hint="default"/>
          <w:sz w:val="24"/>
          <w:szCs w:val="24"/>
        </w:rPr>
      </w:pPr>
      <w:r>
        <w:rPr>
          <w:rFonts w:hint="default"/>
          <w:sz w:val="24"/>
          <w:szCs w:val="24"/>
        </w:rPr>
        <w:t>（五）在招标文件之外设定保证金退还的前置条件；</w:t>
      </w:r>
    </w:p>
    <w:p>
      <w:pPr>
        <w:numPr>
          <w:ilvl w:val="0"/>
          <w:numId w:val="0"/>
        </w:numPr>
        <w:spacing w:line="360" w:lineRule="auto"/>
        <w:ind w:left="0" w:leftChars="0" w:firstLine="480" w:firstLineChars="200"/>
        <w:rPr>
          <w:rFonts w:hint="default"/>
          <w:sz w:val="24"/>
          <w:szCs w:val="24"/>
        </w:rPr>
      </w:pPr>
      <w:r>
        <w:rPr>
          <w:rFonts w:hint="default"/>
          <w:sz w:val="24"/>
          <w:szCs w:val="24"/>
        </w:rPr>
        <w:t>（六）其他涉及保证金的不合理限制措施。</w:t>
      </w:r>
    </w:p>
    <w:p>
      <w:pPr>
        <w:spacing w:line="360" w:lineRule="auto"/>
        <w:jc w:val="center"/>
        <w:rPr>
          <w:rFonts w:hint="default" w:ascii="黑体" w:hAnsi="黑体" w:eastAsia="黑体" w:cs="黑体"/>
          <w:sz w:val="28"/>
          <w:szCs w:val="28"/>
        </w:rPr>
      </w:pPr>
      <w:r>
        <w:rPr>
          <w:rFonts w:hint="default" w:ascii="黑体" w:hAnsi="黑体" w:eastAsia="黑体" w:cs="黑体"/>
          <w:sz w:val="28"/>
          <w:szCs w:val="28"/>
        </w:rPr>
        <w:t>第三章 审查机制</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第十二条</w:t>
      </w:r>
      <w:r>
        <w:rPr>
          <w:rFonts w:hint="default"/>
          <w:sz w:val="24"/>
          <w:szCs w:val="24"/>
        </w:rPr>
        <w:t> 政策制定机关应当建立本机关公平竞争审查工作机制，明确公平竞争审查负责机构、审查标准和审查流程，规范公平竞争审查行为。</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第十三条</w:t>
      </w:r>
      <w:r>
        <w:rPr>
          <w:rFonts w:hint="default"/>
          <w:sz w:val="24"/>
          <w:szCs w:val="24"/>
        </w:rPr>
        <w:t> 政策措施应当在提请审议或者报批前完成公平竞争审查。政策制定机关应当作出符合或者不符合审查标准的书面审查结论。适用有关法律、行政法规或者国务院规定的公平竞争审查例外情形的，应当在审查结论中说明理由。</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第十四条</w:t>
      </w:r>
      <w:r>
        <w:rPr>
          <w:rFonts w:hint="default"/>
          <w:sz w:val="24"/>
          <w:szCs w:val="24"/>
        </w:rPr>
        <w:t> 政策制定机关在对政策措施</w:t>
      </w:r>
      <w:r>
        <w:rPr>
          <w:rFonts w:hint="default"/>
          <w:color w:val="0000FF"/>
          <w:sz w:val="24"/>
          <w:szCs w:val="24"/>
        </w:rPr>
        <w:t>开展公平竞争审查过程中</w:t>
      </w:r>
      <w:r>
        <w:rPr>
          <w:rFonts w:hint="default"/>
          <w:sz w:val="24"/>
          <w:szCs w:val="24"/>
        </w:rPr>
        <w:t>，应当以适当方式</w:t>
      </w:r>
      <w:r>
        <w:rPr>
          <w:rFonts w:hint="default"/>
          <w:color w:val="0000FF"/>
          <w:sz w:val="24"/>
          <w:szCs w:val="24"/>
        </w:rPr>
        <w:t>听取有关经营主体、行业协会商会等意见</w:t>
      </w:r>
      <w:r>
        <w:rPr>
          <w:rFonts w:hint="default"/>
          <w:sz w:val="24"/>
          <w:szCs w:val="24"/>
        </w:rPr>
        <w:t>；除依法保密外，应当向社会公开征求意见。在起草政策措施的其他环节已经向社会公开征求意见或者征求过有关方面意见的，可以不再专门就公平竞争审查征求意见。</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第十五条</w:t>
      </w:r>
      <w:r>
        <w:rPr>
          <w:rFonts w:hint="default"/>
          <w:sz w:val="24"/>
          <w:szCs w:val="24"/>
        </w:rPr>
        <w:t> 政策制定机关可以委托第三方机构对拟出台政策措施的公平竞争影响、已出台政策措施的竞争效果和本地区招标投标公平竞争审查制度总体实施情况、市场竞争状况等开展评估。</w:t>
      </w:r>
    </w:p>
    <w:p>
      <w:pPr>
        <w:spacing w:line="360" w:lineRule="auto"/>
        <w:jc w:val="center"/>
        <w:rPr>
          <w:rFonts w:hint="default" w:ascii="黑体" w:hAnsi="黑体" w:eastAsia="黑体" w:cs="黑体"/>
          <w:sz w:val="28"/>
          <w:szCs w:val="28"/>
        </w:rPr>
      </w:pPr>
      <w:r>
        <w:rPr>
          <w:rFonts w:hint="default" w:ascii="黑体" w:hAnsi="黑体" w:eastAsia="黑体" w:cs="黑体"/>
          <w:sz w:val="28"/>
          <w:szCs w:val="28"/>
        </w:rPr>
        <w:t>第四章 监督管理</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第十六条</w:t>
      </w:r>
      <w:r>
        <w:rPr>
          <w:rFonts w:hint="default"/>
          <w:sz w:val="24"/>
          <w:szCs w:val="24"/>
        </w:rPr>
        <w:t> 地方各级招标投标指导协调部门会同招标投标行政监督部门，应当定期组织开展政策措施评估，发现违反公平竞争审查有关规定的，应当及时纠正。</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第十七条</w:t>
      </w:r>
      <w:r>
        <w:rPr>
          <w:rFonts w:hint="default"/>
          <w:sz w:val="24"/>
          <w:szCs w:val="24"/>
        </w:rPr>
        <w:t> 公民、法人或者其他组织认为政策措施妨碍公平竞争的，有权向政策制定机关及其上一级机关反映。地方各级招标投标指导协调部门、招标投标行政监督部门应当建立招标投标市场壁垒线索征集机制，动态清理废止各类有违公平竞争的政策措施。</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第十八条</w:t>
      </w:r>
      <w:r>
        <w:rPr>
          <w:rFonts w:hint="default"/>
          <w:sz w:val="24"/>
          <w:szCs w:val="24"/>
        </w:rPr>
        <w:t> 公民、法人或者其他组织认为资格预审文件、招标文件存在排斥、限制潜在投标人不合理条件的，有权依照《招标投标法》及其实施条例相关规定提出异议和投诉。招标投标行政监督部门、招标人应当按照规定程序处理。</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第十九条</w:t>
      </w:r>
      <w:r>
        <w:rPr>
          <w:rFonts w:hint="default"/>
          <w:sz w:val="24"/>
          <w:szCs w:val="24"/>
        </w:rPr>
        <w:t> 政策制定机关未进行公平竞争审查或者违反审查标准出台政策措施的，由上级机关责令改正；拒不改正或者不及时改正的，对直接负责的主管人员和其他相关责任人员依照《中华人民共和国公职人员政务处分法》第三十九条、《中华人民共和国公务员法》第六十一条等有关规定依法给予处分。</w:t>
      </w:r>
    </w:p>
    <w:p>
      <w:pPr>
        <w:spacing w:line="360" w:lineRule="auto"/>
        <w:jc w:val="center"/>
        <w:rPr>
          <w:rFonts w:hint="default" w:ascii="黑体" w:hAnsi="黑体" w:eastAsia="黑体" w:cs="黑体"/>
          <w:sz w:val="28"/>
          <w:szCs w:val="28"/>
        </w:rPr>
      </w:pPr>
      <w:r>
        <w:rPr>
          <w:rFonts w:hint="default" w:ascii="黑体" w:hAnsi="黑体" w:eastAsia="黑体" w:cs="黑体"/>
          <w:sz w:val="28"/>
          <w:szCs w:val="28"/>
        </w:rPr>
        <w:t>第五章 附则</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第二十条 </w:t>
      </w:r>
      <w:r>
        <w:rPr>
          <w:rFonts w:hint="default"/>
          <w:sz w:val="24"/>
          <w:szCs w:val="24"/>
        </w:rPr>
        <w:t>政策制定机关作为招标人编制招标公告、资格预审文件和招标文件，以及公共资源交易平台运行服务机构制定招标投标交易服务文件，应当</w:t>
      </w:r>
      <w:r>
        <w:rPr>
          <w:rFonts w:hint="default"/>
          <w:color w:val="0000FF"/>
          <w:sz w:val="24"/>
          <w:szCs w:val="24"/>
        </w:rPr>
        <w:t>参照</w:t>
      </w:r>
      <w:r>
        <w:rPr>
          <w:rFonts w:hint="default"/>
          <w:sz w:val="24"/>
          <w:szCs w:val="24"/>
        </w:rPr>
        <w:t>本规则开展公平竞争审查。</w:t>
      </w:r>
    </w:p>
    <w:p>
      <w:pPr>
        <w:numPr>
          <w:ilvl w:val="0"/>
          <w:numId w:val="0"/>
        </w:numPr>
        <w:spacing w:line="360" w:lineRule="auto"/>
        <w:ind w:left="0" w:leftChars="0" w:firstLine="482" w:firstLineChars="200"/>
        <w:rPr>
          <w:rFonts w:hint="default"/>
          <w:sz w:val="24"/>
          <w:szCs w:val="24"/>
        </w:rPr>
      </w:pPr>
      <w:r>
        <w:rPr>
          <w:rFonts w:hint="default" w:ascii="黑体" w:hAnsi="黑体" w:eastAsia="黑体" w:cs="黑体"/>
          <w:b/>
          <w:bCs/>
          <w:sz w:val="24"/>
          <w:szCs w:val="24"/>
        </w:rPr>
        <w:t>第二十一条</w:t>
      </w:r>
      <w:r>
        <w:rPr>
          <w:rFonts w:hint="default"/>
          <w:sz w:val="24"/>
          <w:szCs w:val="24"/>
        </w:rPr>
        <w:t> 本规则由国家发展改革委会同有关部门负责解释。</w:t>
      </w:r>
    </w:p>
    <w:p>
      <w:pPr>
        <w:numPr>
          <w:ilvl w:val="0"/>
          <w:numId w:val="0"/>
        </w:numPr>
        <w:spacing w:line="360" w:lineRule="auto"/>
        <w:ind w:left="0" w:leftChars="0" w:firstLine="482" w:firstLineChars="200"/>
        <w:rPr>
          <w:sz w:val="24"/>
          <w:szCs w:val="24"/>
        </w:rPr>
      </w:pPr>
      <w:r>
        <w:rPr>
          <w:rFonts w:hint="default" w:ascii="黑体" w:hAnsi="黑体" w:eastAsia="黑体" w:cs="黑体"/>
          <w:b/>
          <w:bCs/>
          <w:sz w:val="24"/>
          <w:szCs w:val="24"/>
        </w:rPr>
        <w:t>第二十二条</w:t>
      </w:r>
      <w:r>
        <w:rPr>
          <w:rFonts w:hint="default"/>
          <w:sz w:val="24"/>
          <w:szCs w:val="24"/>
        </w:rPr>
        <w:t> 本规则自2024年5月1日起施行。</w:t>
      </w:r>
    </w:p>
    <w:p>
      <w:pPr>
        <w:spacing w:line="360" w:lineRule="auto"/>
        <w:rPr>
          <w:sz w:val="24"/>
          <w:szCs w:val="24"/>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OTg5YjYwZDQwZmRiODk4NmU4ODA4NGExMzI4ZWIifQ=="/>
  </w:docVars>
  <w:rsids>
    <w:rsidRoot w:val="00000000"/>
    <w:rsid w:val="054F36DD"/>
    <w:rsid w:val="059D6B5E"/>
    <w:rsid w:val="08545B61"/>
    <w:rsid w:val="0D865199"/>
    <w:rsid w:val="10466858"/>
    <w:rsid w:val="13B14F39"/>
    <w:rsid w:val="148C251F"/>
    <w:rsid w:val="1D2823CD"/>
    <w:rsid w:val="1F9817E6"/>
    <w:rsid w:val="20D13E8A"/>
    <w:rsid w:val="24DC60AB"/>
    <w:rsid w:val="282B09BF"/>
    <w:rsid w:val="300F45A9"/>
    <w:rsid w:val="32B97683"/>
    <w:rsid w:val="3E130753"/>
    <w:rsid w:val="406C497A"/>
    <w:rsid w:val="41546D80"/>
    <w:rsid w:val="41F05229"/>
    <w:rsid w:val="45B1654F"/>
    <w:rsid w:val="45ED3300"/>
    <w:rsid w:val="4BB260DE"/>
    <w:rsid w:val="4F427062"/>
    <w:rsid w:val="5187285A"/>
    <w:rsid w:val="551E5284"/>
    <w:rsid w:val="59183E6F"/>
    <w:rsid w:val="5B5624AD"/>
    <w:rsid w:val="5C500FC1"/>
    <w:rsid w:val="615F3904"/>
    <w:rsid w:val="64772BA6"/>
    <w:rsid w:val="6CE4549A"/>
    <w:rsid w:val="6D2F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2023-06-27T02:34:00Z</dcterms:created>
  <dc:creator>Admin</dc:creator>
  <cp:lastModifiedBy>WPS_1687170381</cp:lastModifiedBy>
  <dcterms:modified xsi:type="dcterms:W3CDTF">2024-04-02T09:41:30Z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76B16D76A7A640BA93F7AC64A45A5447_12</vt:lpwstr>
  </property>
</Properties>
</file>